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AD013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08.02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B15E3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«Развитие культуры и спорта в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с решением Думы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26.12.2022 №46 «О бюджете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«Развитие культуры и спорта в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годы», утвержденную постановлением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5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 xml:space="preserve">от </w:t>
      </w:r>
      <w:r w:rsidR="00AD0139">
        <w:rPr>
          <w:rFonts w:ascii="Courier New" w:eastAsia="Times New Roman" w:hAnsi="Courier New" w:cs="Courier New"/>
          <w:lang w:eastAsia="ru-RU"/>
        </w:rPr>
        <w:t>08.02</w:t>
      </w:r>
      <w:r w:rsidRPr="00B15E3F">
        <w:rPr>
          <w:rFonts w:ascii="Courier New" w:eastAsia="Times New Roman" w:hAnsi="Courier New" w:cs="Courier New"/>
          <w:lang w:eastAsia="ru-RU"/>
        </w:rPr>
        <w:t>.2023 года №</w:t>
      </w:r>
      <w:r w:rsidR="00AD0139">
        <w:rPr>
          <w:rFonts w:ascii="Courier New" w:eastAsia="Times New Roman" w:hAnsi="Courier New" w:cs="Courier New"/>
          <w:lang w:eastAsia="ru-RU"/>
        </w:rPr>
        <w:t>16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6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</w:t>
            </w:r>
            <w:r w:rsidR="000249FF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6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457</w:t>
            </w:r>
            <w:r w:rsidR="00EC6EB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EC6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1880,8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1296,1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1397,8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457</w:t>
            </w:r>
            <w:r w:rsidR="00EC6EB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4,7</w:t>
            </w:r>
            <w:bookmarkStart w:id="0" w:name="_GoBack"/>
            <w:bookmarkEnd w:id="0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EC6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1880,8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1296,1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1397,8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AD0139">
        <w:rPr>
          <w:rFonts w:ascii="Arial" w:eastAsia="Calibri" w:hAnsi="Arial" w:cs="Arial"/>
          <w:sz w:val="24"/>
          <w:szCs w:val="24"/>
        </w:rPr>
        <w:t>4574,7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</w:t>
            </w:r>
            <w:r w:rsidR="00AD0139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</w:t>
            </w:r>
            <w:r w:rsidR="00AD0139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457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</w:t>
            </w: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457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</w:t>
            </w: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1880,8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1880,8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3950,1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162</w:t>
            </w:r>
            <w:r w:rsidR="00AD0139">
              <w:rPr>
                <w:rFonts w:ascii="Courier New" w:eastAsia="Calibri" w:hAnsi="Courier New" w:cs="Courier New"/>
                <w:sz w:val="20"/>
                <w:szCs w:val="20"/>
              </w:rPr>
              <w:t>6,0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1206,0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3950,1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162</w:t>
            </w:r>
            <w:r w:rsidR="00AD01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1118,1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1206,0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D0139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D013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D013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D013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D0139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D0139" w:rsidRPr="000A5A56" w:rsidTr="00311DA6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D0139" w:rsidRPr="000A5A56" w:rsidTr="00311DA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D0139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D0139" w:rsidRPr="000A5A56" w:rsidTr="00311DA6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D0139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AD0139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AD0139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</w:t>
            </w:r>
            <w:r w:rsidR="00EC6EB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244,</w:t>
            </w:r>
            <w:r w:rsidR="00EC6EB3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2023 год – 244,</w:t>
            </w:r>
            <w:r w:rsidR="00EC6EB3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2024 год – 178,0 тыс. руб.;</w:t>
            </w:r>
          </w:p>
          <w:p w:rsid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2025 год – 191,8 тыс. руб.</w:t>
            </w:r>
          </w:p>
          <w:p w:rsidR="000A5A56" w:rsidRPr="000A5A56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C6EB3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C6EB3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Финансовое обеспечение деятельности персонала, </w:t>
            </w: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</w:t>
            </w: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ого образования</w:t>
            </w:r>
          </w:p>
        </w:tc>
      </w:tr>
      <w:tr w:rsidR="00EC6EB3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 w:rsidRP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E7D13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6A0533"/>
    <w:rsid w:val="007814E5"/>
    <w:rsid w:val="007C063F"/>
    <w:rsid w:val="007F1678"/>
    <w:rsid w:val="0080385A"/>
    <w:rsid w:val="008B20B0"/>
    <w:rsid w:val="00911B44"/>
    <w:rsid w:val="00945CF6"/>
    <w:rsid w:val="0099138D"/>
    <w:rsid w:val="009C6144"/>
    <w:rsid w:val="00A16952"/>
    <w:rsid w:val="00A27328"/>
    <w:rsid w:val="00AD0139"/>
    <w:rsid w:val="00B15E3F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C6EB3"/>
    <w:rsid w:val="00EF4C09"/>
    <w:rsid w:val="00F06DED"/>
    <w:rsid w:val="00F97BFA"/>
    <w:rsid w:val="00FB016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D82A"/>
  <w15:docId w15:val="{DB18B8C0-D6E5-42CF-9AE6-D316E21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mo-po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2022-03-15T04:29:00Z</cp:lastPrinted>
  <dcterms:created xsi:type="dcterms:W3CDTF">2021-06-03T02:20:00Z</dcterms:created>
  <dcterms:modified xsi:type="dcterms:W3CDTF">2023-02-08T04:46:00Z</dcterms:modified>
</cp:coreProperties>
</file>