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B06798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07.12</w:t>
      </w:r>
      <w:r w:rsidR="00311DA6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B15E3F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101/3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с решением Думы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26.12.2022 №46 «О бюджете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2023 год и на плановый период 2024 и 2025 годов»,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муниципальную программу «Развитие культуры и спорта в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 на 2023 - 2025 годы», утвержденную постановлением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sz w:val="24"/>
          <w:szCs w:val="24"/>
          <w:lang w:eastAsia="ru-RU"/>
        </w:rPr>
        <w:t>, изложив ее в новой редакции (приложение №1).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B06798">
        <w:rPr>
          <w:rFonts w:ascii="Courier New" w:eastAsia="Times New Roman" w:hAnsi="Courier New" w:cs="Courier New"/>
          <w:lang w:eastAsia="ru-RU"/>
        </w:rPr>
        <w:t>07.12</w:t>
      </w:r>
      <w:r w:rsidRPr="00B15E3F">
        <w:rPr>
          <w:rFonts w:ascii="Courier New" w:eastAsia="Times New Roman" w:hAnsi="Courier New" w:cs="Courier New"/>
          <w:lang w:eastAsia="ru-RU"/>
        </w:rPr>
        <w:t>.2023 года №</w:t>
      </w:r>
      <w:r w:rsidR="00B06798">
        <w:rPr>
          <w:rFonts w:ascii="Courier New" w:eastAsia="Times New Roman" w:hAnsi="Courier New" w:cs="Courier New"/>
          <w:lang w:eastAsia="ru-RU"/>
        </w:rPr>
        <w:t>101/3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2023 - 2025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2023 - 2025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2023-2025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2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B06798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5808,7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B067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3114,8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1296,1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1397,8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B06798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5808,7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B067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3114,8</w:t>
            </w: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1296,1 тыс. руб.;</w:t>
            </w:r>
          </w:p>
          <w:p w:rsidR="000A5A56" w:rsidRPr="000A5A56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1397,8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2025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B06798">
        <w:rPr>
          <w:rFonts w:ascii="Arial" w:eastAsia="Calibri" w:hAnsi="Arial" w:cs="Arial"/>
          <w:sz w:val="24"/>
          <w:szCs w:val="24"/>
        </w:rPr>
        <w:t>5808,7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2023 - 2025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06798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06798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06798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06798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2023 - 2025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06798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06798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06798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06798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2023 - 2025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2023 - 2025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B06798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5808,7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5808,7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B06798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3114,8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3114,8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06798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06798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1397,8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798" w:rsidRPr="006A0533" w:rsidRDefault="00B06798" w:rsidP="00B06798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1397,8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418"/>
        <w:gridCol w:w="1417"/>
        <w:gridCol w:w="1559"/>
      </w:tblGrid>
      <w:tr w:rsidR="000A5A56" w:rsidRPr="000A5A56" w:rsidTr="00DB6CC1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0A5A56" w:rsidRPr="000A5A56" w:rsidTr="00DB6CC1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</w:tr>
      <w:tr w:rsidR="000A5A56" w:rsidRPr="000A5A56" w:rsidTr="00DB6CC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</w:tr>
      <w:tr w:rsidR="00A16952" w:rsidRPr="000A5A56" w:rsidTr="00311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  <w:tr w:rsidR="00A16952" w:rsidRPr="000A5A56" w:rsidTr="00DB6CC1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</w:tr>
      <w:tr w:rsidR="00A16952" w:rsidRPr="000A5A56" w:rsidTr="00311DA6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2023-2025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- 2025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развитие сферы культуры на территории муниципального 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A16952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B06798">
              <w:rPr>
                <w:rFonts w:ascii="Courier New" w:eastAsia="Calibri" w:hAnsi="Courier New" w:cs="Courier New"/>
                <w:b/>
                <w:bCs/>
                <w:i/>
                <w:iCs/>
                <w:sz w:val="20"/>
                <w:szCs w:val="20"/>
              </w:rPr>
              <w:t>5064,1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B06798"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1206,0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B06798">
              <w:rPr>
                <w:rFonts w:ascii="Courier New" w:eastAsia="Calibri" w:hAnsi="Courier New" w:cs="Courier New"/>
                <w:b/>
                <w:bCs/>
                <w:i/>
                <w:iCs/>
                <w:sz w:val="20"/>
                <w:szCs w:val="20"/>
              </w:rPr>
              <w:t>5064,1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тыс. рублей, в том числе: 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B067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2740,0</w:t>
            </w: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1118,1 тыс. руб.;</w:t>
            </w:r>
          </w:p>
          <w:p w:rsidR="000A5A56" w:rsidRPr="000A5A56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1206,0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06798" w:rsidRPr="000A5A56" w:rsidTr="00BA712E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06798" w:rsidRPr="000A5A56" w:rsidTr="00B06798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6798" w:rsidRPr="000A5A56" w:rsidTr="00B06798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6798" w:rsidRPr="000A5A56" w:rsidTr="00BA712E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6798" w:rsidRPr="000A5A56" w:rsidTr="00BA712E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06798" w:rsidRPr="000A5A56" w:rsidTr="00B06798">
        <w:trPr>
          <w:trHeight w:val="1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6798" w:rsidRPr="000A5A56" w:rsidTr="00B06798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6798" w:rsidRPr="000A5A56" w:rsidTr="00BA712E">
        <w:trPr>
          <w:trHeight w:val="1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06798" w:rsidRPr="000A5A56" w:rsidTr="00BA712E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5064,1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06798" w:rsidRPr="000A5A56" w:rsidTr="00B067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2740,0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6798" w:rsidRPr="000A5A56" w:rsidTr="00B0679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06798" w:rsidRPr="000A5A56" w:rsidTr="00BA71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2023 - 2025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- 2025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B06798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4534C1"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77AE7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4534C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 тыс. рублей, в том числе: </w:t>
            </w:r>
          </w:p>
          <w:p w:rsidR="006A0533" w:rsidRP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4534C1"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bookmarkStart w:id="0" w:name="_GoBack"/>
            <w:bookmarkEnd w:id="0"/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6A0533" w:rsidRP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>2024 год – 178,0 тыс. руб.;</w:t>
            </w:r>
          </w:p>
          <w:p w:rsid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>2025 год – 191,8 тыс. руб.</w:t>
            </w:r>
          </w:p>
          <w:p w:rsidR="000A5A56" w:rsidRPr="000A5A56" w:rsidRDefault="000A5A56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B06798" w:rsidRPr="000A5A56" w:rsidTr="00125CB3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B06798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06798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06798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06798" w:rsidRPr="000A5A56" w:rsidTr="00125CB3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 xml:space="preserve">Финансовое обеспечение деятельности персонала, </w:t>
            </w: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lastRenderedPageBreak/>
              <w:t>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</w:t>
            </w: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ого образования</w:t>
            </w:r>
          </w:p>
        </w:tc>
      </w:tr>
      <w:tr w:rsidR="00B06798" w:rsidRPr="000A5A56" w:rsidTr="00125CB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6798" w:rsidRPr="000A5A56" w:rsidTr="00125CB3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6798" w:rsidRPr="000A5A56" w:rsidTr="00125CB3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06798" w:rsidRPr="000A5A56" w:rsidTr="001100B6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714,6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B06798" w:rsidRPr="000A5A56" w:rsidTr="001100B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6798" w:rsidRPr="000A5A56" w:rsidTr="001100B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06798" w:rsidRPr="000A5A56" w:rsidTr="001100B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0A5A56" w:rsidRDefault="00B06798" w:rsidP="00B0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98" w:rsidRPr="00DB6CC1" w:rsidRDefault="00B06798" w:rsidP="00B06798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8" w:rsidRPr="000A5A56" w:rsidRDefault="00B06798" w:rsidP="00B06798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2023 - 2025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2023 - 2025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2023-2025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BA712E" w:rsidRPr="00BA712E">
              <w:rPr>
                <w:rFonts w:ascii="Courier New" w:eastAsia="Calibri" w:hAnsi="Courier New" w:cs="Courier New"/>
                <w:b/>
              </w:rPr>
              <w:t>2</w:t>
            </w:r>
            <w:r w:rsidR="006A0533">
              <w:rPr>
                <w:rFonts w:ascii="Courier New" w:eastAsia="Calibri" w:hAnsi="Courier New" w:cs="Courier New"/>
                <w:b/>
                <w:i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0A5A56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</w:rPr>
              <w:t>2</w:t>
            </w:r>
            <w:r w:rsidR="006A0533">
              <w:rPr>
                <w:rFonts w:ascii="Courier New" w:eastAsia="Calibri" w:hAnsi="Courier New" w:cs="Courier New"/>
              </w:rPr>
              <w:t>5</w:t>
            </w:r>
            <w:r w:rsidRPr="000A5A56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2024 год – </w:t>
            </w:r>
            <w:r w:rsidR="00077AE7">
              <w:rPr>
                <w:rFonts w:ascii="Courier New" w:eastAsia="Calibri" w:hAnsi="Courier New" w:cs="Courier New"/>
              </w:rPr>
              <w:t>0</w:t>
            </w:r>
            <w:r w:rsidRPr="000A5A56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2025 год – </w:t>
            </w:r>
            <w:r w:rsidR="00077AE7">
              <w:rPr>
                <w:rFonts w:ascii="Courier New" w:eastAsia="Calibri" w:hAnsi="Courier New" w:cs="Courier New"/>
              </w:rPr>
              <w:t>0</w:t>
            </w:r>
            <w:r w:rsidRPr="000A5A56">
              <w:rPr>
                <w:rFonts w:ascii="Courier New" w:eastAsia="Calibri" w:hAnsi="Courier New" w:cs="Courier New"/>
              </w:rPr>
              <w:t>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BA712E" w:rsidRPr="00BA712E">
              <w:rPr>
                <w:rFonts w:ascii="Courier New" w:eastAsia="Calibri" w:hAnsi="Courier New" w:cs="Courier New"/>
                <w:b/>
              </w:rPr>
              <w:t>2</w:t>
            </w:r>
            <w:r w:rsidR="006A0533">
              <w:rPr>
                <w:rFonts w:ascii="Courier New" w:eastAsia="Calibri" w:hAnsi="Courier New" w:cs="Courier New"/>
                <w:b/>
                <w:i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0A5A56">
              <w:rPr>
                <w:rFonts w:ascii="Courier New" w:eastAsia="Calibri" w:hAnsi="Courier New" w:cs="Courier New"/>
              </w:rPr>
              <w:t xml:space="preserve"> тыс. рублей, в том числе: 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77AE7">
              <w:rPr>
                <w:rFonts w:ascii="Courier New" w:eastAsia="Calibri" w:hAnsi="Courier New" w:cs="Courier New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</w:rPr>
              <w:t>2</w:t>
            </w:r>
            <w:r w:rsidR="006A0533">
              <w:rPr>
                <w:rFonts w:ascii="Courier New" w:eastAsia="Calibri" w:hAnsi="Courier New" w:cs="Courier New"/>
              </w:rPr>
              <w:t>5</w:t>
            </w:r>
            <w:r w:rsidRPr="00077AE7">
              <w:rPr>
                <w:rFonts w:ascii="Courier New" w:eastAsia="Calibri" w:hAnsi="Courier New" w:cs="Courier New"/>
              </w:rPr>
              <w:t>,0 тыс. руб.;</w:t>
            </w:r>
          </w:p>
          <w:p w:rsidR="00077AE7" w:rsidRPr="00077AE7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2024 год – </w:t>
            </w:r>
            <w:r w:rsidR="00077AE7" w:rsidRPr="00077AE7">
              <w:rPr>
                <w:rFonts w:ascii="Courier New" w:eastAsia="Calibri" w:hAnsi="Courier New" w:cs="Courier New"/>
              </w:rPr>
              <w:t>0,0 тыс. руб.;</w:t>
            </w:r>
          </w:p>
          <w:p w:rsidR="000A5A56" w:rsidRPr="000A5A56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2025 год – </w:t>
            </w:r>
            <w:r w:rsidR="00077AE7" w:rsidRPr="00077AE7">
              <w:rPr>
                <w:rFonts w:ascii="Courier New" w:eastAsia="Calibri" w:hAnsi="Courier New" w:cs="Courier New"/>
              </w:rPr>
              <w:t>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0A5A56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2025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Задача 1 Создание благоприятных условий для организации культурного досуга и отдыха жителей МО, предоставление услуг развлекательного характера, доступных для широких слоев населения</w:t>
            </w:r>
          </w:p>
        </w:tc>
      </w:tr>
      <w:tr w:rsidR="00BA712E" w:rsidRPr="000A5A56" w:rsidTr="00FF586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2023 - 2025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2023 - 2025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Исполнитель, являющийся ответственным за 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6A0533" w:rsidRPr="006A0533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077AE7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6A0533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 тыс. рублей, в том числе: 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77AE7" w:rsidRPr="00077AE7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077AE7" w:rsidRPr="00077AE7">
              <w:rPr>
                <w:rFonts w:ascii="Courier New" w:eastAsia="Calibri" w:hAnsi="Courier New" w:cs="Courier New"/>
                <w:sz w:val="20"/>
                <w:szCs w:val="20"/>
              </w:rPr>
              <w:t>0,0 тыс. руб.;</w:t>
            </w:r>
          </w:p>
          <w:p w:rsidR="000A5A56" w:rsidRPr="000A5A56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077AE7" w:rsidRPr="00077AE7">
              <w:rPr>
                <w:rFonts w:ascii="Courier New" w:eastAsia="Calibri" w:hAnsi="Courier New" w:cs="Courier New"/>
                <w:sz w:val="20"/>
                <w:szCs w:val="20"/>
              </w:rPr>
              <w:t>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6A0533" w:rsidRPr="000A5A56" w:rsidTr="00FF586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FF5864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FF586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077AE7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AD0139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F97BF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2C94"/>
    <w:rsid w:val="002A76F8"/>
    <w:rsid w:val="002E4769"/>
    <w:rsid w:val="002E7D13"/>
    <w:rsid w:val="002F6F49"/>
    <w:rsid w:val="00311DA6"/>
    <w:rsid w:val="003628DF"/>
    <w:rsid w:val="00397EB3"/>
    <w:rsid w:val="003E1016"/>
    <w:rsid w:val="00416B29"/>
    <w:rsid w:val="004534C1"/>
    <w:rsid w:val="00465114"/>
    <w:rsid w:val="004C192B"/>
    <w:rsid w:val="004E2BE4"/>
    <w:rsid w:val="0056226E"/>
    <w:rsid w:val="005872F7"/>
    <w:rsid w:val="005F118A"/>
    <w:rsid w:val="006A0533"/>
    <w:rsid w:val="007714C3"/>
    <w:rsid w:val="007814E5"/>
    <w:rsid w:val="007C063F"/>
    <w:rsid w:val="007F1678"/>
    <w:rsid w:val="0080385A"/>
    <w:rsid w:val="008B20B0"/>
    <w:rsid w:val="00911B44"/>
    <w:rsid w:val="00945CF6"/>
    <w:rsid w:val="0099138D"/>
    <w:rsid w:val="00991409"/>
    <w:rsid w:val="009C6144"/>
    <w:rsid w:val="00A16952"/>
    <w:rsid w:val="00A27328"/>
    <w:rsid w:val="00AD0139"/>
    <w:rsid w:val="00B06798"/>
    <w:rsid w:val="00B15E3F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E07697"/>
    <w:rsid w:val="00EB73EC"/>
    <w:rsid w:val="00EC6EB3"/>
    <w:rsid w:val="00EF4C09"/>
    <w:rsid w:val="00F06DED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4DCD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12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2023-07-17T03:47:00Z</cp:lastPrinted>
  <dcterms:created xsi:type="dcterms:W3CDTF">2021-06-03T02:20:00Z</dcterms:created>
  <dcterms:modified xsi:type="dcterms:W3CDTF">2023-12-15T03:53:00Z</dcterms:modified>
</cp:coreProperties>
</file>